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70" w:rsidRDefault="00050270" w:rsidP="00050270">
      <w:pPr>
        <w:spacing w:after="0"/>
        <w:ind w:left="3835"/>
      </w:pPr>
      <w:r>
        <w:rPr>
          <w:rFonts w:ascii="Arial" w:eastAsia="Arial" w:hAnsi="Arial" w:cs="Arial"/>
          <w:b/>
          <w:sz w:val="15"/>
        </w:rPr>
        <w:t xml:space="preserve">Zgłoszenie prac geodezyjnych </w:t>
      </w:r>
    </w:p>
    <w:tbl>
      <w:tblPr>
        <w:tblStyle w:val="TableGrid"/>
        <w:tblW w:w="10548" w:type="dxa"/>
        <w:tblInd w:w="-717" w:type="dxa"/>
        <w:tblCellMar>
          <w:top w:w="24" w:type="dxa"/>
          <w:right w:w="21" w:type="dxa"/>
        </w:tblCellMar>
        <w:tblLook w:val="04A0" w:firstRow="1" w:lastRow="0" w:firstColumn="1" w:lastColumn="0" w:noHBand="0" w:noVBand="1"/>
      </w:tblPr>
      <w:tblGrid>
        <w:gridCol w:w="567"/>
        <w:gridCol w:w="620"/>
        <w:gridCol w:w="2063"/>
        <w:gridCol w:w="271"/>
        <w:gridCol w:w="1927"/>
        <w:gridCol w:w="179"/>
        <w:gridCol w:w="819"/>
        <w:gridCol w:w="1592"/>
        <w:gridCol w:w="1748"/>
        <w:gridCol w:w="762"/>
      </w:tblGrid>
      <w:tr w:rsidR="00050270" w:rsidTr="00050270">
        <w:trPr>
          <w:trHeight w:val="221"/>
        </w:trPr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1. Imię i nazwisko / nazwa wykonawcy prac geodezyjnych zgodnie z art. 11 ust. 1 ustawy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1 </w:t>
            </w:r>
          </w:p>
        </w:tc>
        <w:tc>
          <w:tcPr>
            <w:tcW w:w="43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2. Identyfikator zgłoszenia, którego dotyczy uzupełnienie 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  <w:vAlign w:val="bottom"/>
          </w:tcPr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b/>
                <w:sz w:val="16"/>
                <w:szCs w:val="16"/>
              </w:rPr>
              <w:t xml:space="preserve">ZG-3 </w:t>
            </w:r>
          </w:p>
        </w:tc>
      </w:tr>
      <w:tr w:rsidR="00050270" w:rsidTr="00050270">
        <w:trPr>
          <w:trHeight w:val="193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4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</w:tr>
      <w:tr w:rsidR="00050270" w:rsidTr="00050270">
        <w:trPr>
          <w:trHeight w:val="221"/>
        </w:trPr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3. Identyfikator wykonawcy prac geodezyjnych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2 </w:t>
            </w:r>
          </w:p>
        </w:tc>
        <w:tc>
          <w:tcPr>
            <w:tcW w:w="5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4. Data </w:t>
            </w:r>
          </w:p>
        </w:tc>
      </w:tr>
      <w:tr w:rsidR="00050270" w:rsidTr="00050270">
        <w:trPr>
          <w:trHeight w:val="193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4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4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</w:tr>
      <w:tr w:rsidR="00050270" w:rsidTr="00050270">
        <w:trPr>
          <w:trHeight w:val="256"/>
        </w:trPr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5. Adres poczty elektronicznej (e-mail)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3 </w:t>
            </w:r>
          </w:p>
        </w:tc>
        <w:tc>
          <w:tcPr>
            <w:tcW w:w="5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6. Adresat zgłoszenia – nazwa i adres organu lub jednostki organizacyjnej, która w imieniu organu       prowadzi państwowy zasób geodezyjny i kartograficzny </w:t>
            </w:r>
          </w:p>
        </w:tc>
      </w:tr>
      <w:tr w:rsidR="00050270" w:rsidTr="00050270">
        <w:trPr>
          <w:trHeight w:val="318"/>
        </w:trPr>
        <w:tc>
          <w:tcPr>
            <w:tcW w:w="567" w:type="dxa"/>
            <w:tcBorders>
              <w:top w:val="single" w:sz="29" w:space="0" w:color="CCCC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4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single" w:sz="29" w:space="0" w:color="CCCC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4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FA6F7A" w:rsidRDefault="00050270" w:rsidP="00050270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A6F7A">
              <w:rPr>
                <w:rFonts w:ascii="Times New Roman" w:hAnsi="Times New Roman"/>
                <w:b/>
                <w:sz w:val="16"/>
                <w:szCs w:val="16"/>
              </w:rPr>
              <w:t>Starosta Ostródzki</w:t>
            </w:r>
          </w:p>
          <w:p w:rsidR="00050270" w:rsidRPr="00FA6F7A" w:rsidRDefault="00050270" w:rsidP="00050270">
            <w:pPr>
              <w:spacing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A6F7A">
              <w:rPr>
                <w:rFonts w:ascii="Times New Roman" w:hAnsi="Times New Roman"/>
                <w:b/>
                <w:sz w:val="16"/>
                <w:szCs w:val="16"/>
              </w:rPr>
              <w:t>ul. Jana III Sobieskiego 5</w:t>
            </w:r>
          </w:p>
          <w:p w:rsidR="00050270" w:rsidRPr="00050270" w:rsidRDefault="00050270" w:rsidP="00050270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FA6F7A">
              <w:rPr>
                <w:rFonts w:ascii="Times New Roman" w:hAnsi="Times New Roman"/>
                <w:b/>
                <w:sz w:val="16"/>
                <w:szCs w:val="16"/>
              </w:rPr>
              <w:t>14-100 Ostróda</w:t>
            </w:r>
            <w:bookmarkStart w:id="0" w:name="_GoBack"/>
            <w:bookmarkEnd w:id="0"/>
          </w:p>
        </w:tc>
      </w:tr>
      <w:tr w:rsidR="00050270" w:rsidTr="00050270">
        <w:trPr>
          <w:trHeight w:val="221"/>
        </w:trPr>
        <w:tc>
          <w:tcPr>
            <w:tcW w:w="105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7. Powód zgłoszenia uzupełniającego: </w:t>
            </w:r>
          </w:p>
        </w:tc>
      </w:tr>
      <w:tr w:rsidR="00050270" w:rsidTr="00050270">
        <w:trPr>
          <w:trHeight w:val="221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9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zwiększenie obszaru objętego zgłoszeniem o obszar bezpośrednio do niego przyległy  (należy wskazać dane określające obszar objęty zgłaszanymi pracami geodezyjnymi):  </w:t>
            </w:r>
          </w:p>
        </w:tc>
      </w:tr>
      <w:tr w:rsidR="00050270" w:rsidTr="00050270">
        <w:trPr>
          <w:trHeight w:val="22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jednostki podziału terytorialnego kraju lub podziału dla celów </w:t>
            </w:r>
            <w:proofErr w:type="spellStart"/>
            <w:r w:rsidRPr="00050270">
              <w:rPr>
                <w:rFonts w:ascii="Arial" w:eastAsia="Arial" w:hAnsi="Arial" w:cs="Arial"/>
                <w:sz w:val="16"/>
                <w:szCs w:val="16"/>
              </w:rPr>
              <w:t>EGiB</w:t>
            </w:r>
            <w:proofErr w:type="spellEnd"/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        </w:t>
            </w: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godło mapy          </w:t>
            </w: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obszar określony w załączniku      </w:t>
            </w: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współrzędne punktów wielokąta (poligonu) </w:t>
            </w:r>
          </w:p>
        </w:tc>
      </w:tr>
      <w:tr w:rsidR="00050270" w:rsidTr="00050270">
        <w:trPr>
          <w:trHeight w:val="22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6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>Dane szczegółowe określające położenie obszaru zgłoszenia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4 </w:t>
            </w:r>
          </w:p>
        </w:tc>
        <w:tc>
          <w:tcPr>
            <w:tcW w:w="5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</w:tr>
      <w:tr w:rsidR="00050270" w:rsidTr="00050270">
        <w:trPr>
          <w:trHeight w:val="22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6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>Powierzchnia obszaru zgłoszenia po zmianie (określona w hektarach)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5 </w:t>
            </w:r>
          </w:p>
        </w:tc>
        <w:tc>
          <w:tcPr>
            <w:tcW w:w="5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</w:tcPr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color w:val="A6A6A6"/>
                <w:sz w:val="16"/>
                <w:szCs w:val="16"/>
              </w:rPr>
              <w:t xml:space="preserve">Pole wypełnia adresat zgłoszenia </w:t>
            </w:r>
          </w:p>
        </w:tc>
      </w:tr>
      <w:tr w:rsidR="00050270" w:rsidTr="00050270">
        <w:trPr>
          <w:trHeight w:val="221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9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>wydłużenie przewidywanego terminu przekazania wyników zgłoszonych prac [</w:t>
            </w:r>
            <w:proofErr w:type="spellStart"/>
            <w:r w:rsidRPr="00050270">
              <w:rPr>
                <w:rFonts w:ascii="Arial" w:eastAsia="Arial" w:hAnsi="Arial" w:cs="Arial"/>
                <w:sz w:val="16"/>
                <w:szCs w:val="16"/>
              </w:rPr>
              <w:t>dd</w:t>
            </w:r>
            <w:proofErr w:type="spellEnd"/>
            <w:r w:rsidRPr="00050270">
              <w:rPr>
                <w:rFonts w:ascii="Arial" w:eastAsia="Arial" w:hAnsi="Arial" w:cs="Arial"/>
                <w:sz w:val="16"/>
                <w:szCs w:val="16"/>
              </w:rPr>
              <w:t>-mm-</w:t>
            </w:r>
            <w:proofErr w:type="spellStart"/>
            <w:r w:rsidRPr="00050270">
              <w:rPr>
                <w:rFonts w:ascii="Arial" w:eastAsia="Arial" w:hAnsi="Arial" w:cs="Arial"/>
                <w:sz w:val="16"/>
                <w:szCs w:val="16"/>
              </w:rPr>
              <w:t>rrrr</w:t>
            </w:r>
            <w:proofErr w:type="spellEnd"/>
            <w:r w:rsidRPr="00050270">
              <w:rPr>
                <w:rFonts w:ascii="Arial" w:eastAsia="Arial" w:hAnsi="Arial" w:cs="Arial"/>
                <w:sz w:val="16"/>
                <w:szCs w:val="16"/>
              </w:rPr>
              <w:t>]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6 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(należy wskazać nowy przewidywany termin przekazania zbiorów danych lub dokumentów) </w:t>
            </w:r>
          </w:p>
        </w:tc>
      </w:tr>
      <w:tr w:rsidR="00050270" w:rsidTr="00050270">
        <w:trPr>
          <w:trHeight w:val="24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936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_ _ - _ _ - _ _ _ _ </w:t>
            </w:r>
          </w:p>
        </w:tc>
      </w:tr>
      <w:tr w:rsidR="00050270" w:rsidTr="00050270">
        <w:trPr>
          <w:trHeight w:val="22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9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zmiana kierownika zgłoszonych prac geodezyjnych (należy wskazać nowego kierownika prac geodezyjnych) </w:t>
            </w:r>
          </w:p>
        </w:tc>
      </w:tr>
      <w:tr w:rsidR="00050270" w:rsidTr="00050270">
        <w:trPr>
          <w:trHeight w:val="383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6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Imię i nazwisko </w:t>
            </w: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spacing w:line="275" w:lineRule="auto"/>
              <w:ind w:left="-327" w:right="152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Nr uprawnień zawodowych lub nr wpisu w centralnym rejestrze osób posiadających </w:t>
            </w:r>
          </w:p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uprawnienia zawodowe 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Zakres uprawnień zawodowych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Zakres powierzonych zadań </w:t>
            </w: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0270" w:rsidRPr="00050270" w:rsidRDefault="00050270" w:rsidP="00050270">
            <w:pPr>
              <w:ind w:left="-327" w:firstLine="329"/>
              <w:jc w:val="center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Dane kontaktowe* </w:t>
            </w:r>
          </w:p>
        </w:tc>
      </w:tr>
      <w:tr w:rsidR="00050270" w:rsidTr="00050270">
        <w:trPr>
          <w:trHeight w:val="252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6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2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jc w:val="both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>art. 43 pkt …. ustawy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1 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2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</w:tr>
      <w:tr w:rsidR="00050270" w:rsidTr="00050270">
        <w:trPr>
          <w:trHeight w:val="22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9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</w:t>
            </w:r>
            <w:r w:rsidRPr="00050270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zgłoszenie prac dodatkowych dotyczących wznowienia znaków granicznych, wyznaczenia punktów granicznych lub ustalenia przebiegu granic działek ewidencyjnych 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5 </w:t>
            </w:r>
          </w:p>
        </w:tc>
      </w:tr>
      <w:tr w:rsidR="00050270" w:rsidTr="00050270">
        <w:trPr>
          <w:trHeight w:val="221"/>
        </w:trPr>
        <w:tc>
          <w:tcPr>
            <w:tcW w:w="105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8. Dodatkowe wyjaśnienia i uwagi wykonawcy prac geodezyjnych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7 </w:t>
            </w:r>
          </w:p>
        </w:tc>
      </w:tr>
      <w:tr w:rsidR="00050270" w:rsidTr="00050270">
        <w:trPr>
          <w:trHeight w:val="771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050270" w:rsidRDefault="00050270" w:rsidP="00050270">
            <w:pPr>
              <w:ind w:left="-327" w:firstLine="329"/>
            </w:pPr>
          </w:p>
        </w:tc>
        <w:tc>
          <w:tcPr>
            <w:tcW w:w="9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</w:tr>
      <w:tr w:rsidR="00050270" w:rsidTr="00050270">
        <w:trPr>
          <w:trHeight w:val="221"/>
        </w:trPr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51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  <w:r w:rsidRPr="00050270">
              <w:rPr>
                <w:rFonts w:ascii="Arial" w:eastAsia="Arial" w:hAnsi="Arial" w:cs="Arial"/>
                <w:sz w:val="16"/>
                <w:szCs w:val="16"/>
              </w:rPr>
              <w:t xml:space="preserve"> 9. Podpis wykonawcy prac geodezyjnych</w:t>
            </w:r>
            <w:r w:rsidRPr="00050270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 xml:space="preserve">8 </w:t>
            </w:r>
          </w:p>
        </w:tc>
      </w:tr>
      <w:tr w:rsidR="00050270" w:rsidTr="00050270">
        <w:trPr>
          <w:trHeight w:val="771"/>
        </w:trPr>
        <w:tc>
          <w:tcPr>
            <w:tcW w:w="544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  <w:tc>
          <w:tcPr>
            <w:tcW w:w="49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270" w:rsidRPr="00050270" w:rsidRDefault="00050270" w:rsidP="00050270">
            <w:pPr>
              <w:ind w:left="-327" w:firstLine="329"/>
              <w:rPr>
                <w:sz w:val="16"/>
                <w:szCs w:val="16"/>
              </w:rPr>
            </w:pPr>
          </w:p>
        </w:tc>
      </w:tr>
      <w:tr w:rsidR="00050270" w:rsidTr="00050270">
        <w:trPr>
          <w:trHeight w:val="193"/>
        </w:trPr>
        <w:tc>
          <w:tcPr>
            <w:tcW w:w="105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Default="00050270" w:rsidP="00F55F7C">
            <w:pPr>
              <w:ind w:left="26"/>
            </w:pPr>
            <w:r>
              <w:rPr>
                <w:rFonts w:ascii="Arial" w:eastAsia="Arial" w:hAnsi="Arial" w:cs="Arial"/>
                <w:sz w:val="11"/>
              </w:rPr>
              <w:t xml:space="preserve">Przypisy: </w:t>
            </w:r>
          </w:p>
        </w:tc>
      </w:tr>
      <w:tr w:rsidR="00050270" w:rsidTr="00050270">
        <w:trPr>
          <w:trHeight w:val="132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050270" w:rsidRDefault="00050270" w:rsidP="00F55F7C"/>
        </w:tc>
        <w:tc>
          <w:tcPr>
            <w:tcW w:w="9981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50270" w:rsidRDefault="00050270" w:rsidP="00050270">
            <w:pPr>
              <w:numPr>
                <w:ilvl w:val="0"/>
                <w:numId w:val="1"/>
              </w:numPr>
              <w:spacing w:after="22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Ustawa z dnia 17 maja 1989 r. – Prawo geodezyjne i kartograficzne (Dz. U. z 2020 r. poz. 276, z </w:t>
            </w:r>
            <w:proofErr w:type="spellStart"/>
            <w:r>
              <w:rPr>
                <w:rFonts w:ascii="Arial" w:eastAsia="Arial" w:hAnsi="Arial" w:cs="Arial"/>
                <w:i/>
                <w:sz w:val="10"/>
              </w:rPr>
              <w:t>późn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. zm.). </w:t>
            </w:r>
          </w:p>
          <w:p w:rsidR="00050270" w:rsidRDefault="00050270" w:rsidP="00050270">
            <w:pPr>
              <w:numPr>
                <w:ilvl w:val="0"/>
                <w:numId w:val="1"/>
              </w:numPr>
              <w:spacing w:after="22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Identyfikatorem wykonawcy jest: </w:t>
            </w:r>
          </w:p>
          <w:p w:rsidR="00050270" w:rsidRDefault="00050270" w:rsidP="00050270">
            <w:pPr>
              <w:numPr>
                <w:ilvl w:val="1"/>
                <w:numId w:val="1"/>
              </w:numPr>
              <w:spacing w:after="7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przypadku gdy wykonawcą jest przedsiębiorca lub jednostka organizacyjna – nr NIP,   </w:t>
            </w:r>
          </w:p>
          <w:p w:rsidR="00050270" w:rsidRDefault="00050270" w:rsidP="00050270">
            <w:pPr>
              <w:numPr>
                <w:ilvl w:val="1"/>
                <w:numId w:val="1"/>
              </w:numPr>
              <w:spacing w:after="7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przypadku gdy wykonawcą jest biegły sądowy – nr uprawnień zawodowych lub nr wpisu w centralnym rejestrze osób posiadających uprawnienia zawodowe,  </w:t>
            </w:r>
          </w:p>
          <w:p w:rsidR="00050270" w:rsidRDefault="00050270" w:rsidP="00050270">
            <w:pPr>
              <w:numPr>
                <w:ilvl w:val="1"/>
                <w:numId w:val="1"/>
              </w:numPr>
              <w:spacing w:after="8" w:line="275" w:lineRule="auto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przypadku gdy wykonawcą jest mierniczy górniczy – nr świadectwa wydanego przez Prezesa Wyższego Urzędu Górniczego o stwierdzeniu kwalifikacji do wykonywania czynności mierniczego górniczego,       – w przypadku gdy wykonawca jest podmiotem zagranicznym – nr identyfikacyjny stosowany w kraju, w którym ma siedzibę wykonawca. </w:t>
            </w:r>
          </w:p>
          <w:p w:rsidR="00050270" w:rsidRDefault="00050270" w:rsidP="00050270">
            <w:pPr>
              <w:numPr>
                <w:ilvl w:val="0"/>
                <w:numId w:val="1"/>
              </w:numPr>
              <w:spacing w:after="22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Dane wymagane w celu przekazania informacji o wyniku weryfikacji za pomocą środków komunikacji elektronicznej zgodnie z art. 12b ust. 3a ustawy z dnia 17 maja 1989 r. – Prawo geodezyjne i kartograficzne. </w:t>
            </w:r>
          </w:p>
          <w:p w:rsidR="00050270" w:rsidRDefault="00050270" w:rsidP="00050270">
            <w:pPr>
              <w:numPr>
                <w:ilvl w:val="0"/>
                <w:numId w:val="1"/>
              </w:numPr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Przy podawaniu numerów lub identyfikatorów obiektów </w:t>
            </w:r>
            <w:proofErr w:type="spellStart"/>
            <w:r>
              <w:rPr>
                <w:rFonts w:ascii="Arial" w:eastAsia="Arial" w:hAnsi="Arial" w:cs="Arial"/>
                <w:i/>
                <w:sz w:val="10"/>
              </w:rPr>
              <w:t>EGiB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 (jednostka ewidencyjna, obręb ewidencyjny, działka ewidencyjna) wskazywane nimi obiekty muszą przylegać do siebie. Jeżeli zaznaczono, że zakres pracy jest określony w załączniku, pole może pozostać niewypełnione lub zawierać identyfikatory działek objętych obszarem zgłoszenia. Przy zgłaszaniu prac geodezyjnych za pomocą systemu teleinformatycznego, o którym mowa w przepisach wydanych na podstawie art. 40 ust. 8 ustawy  z dnia 17 maja 1989 r. – Prawo geodezyjne i kartograficzne, nie jest konieczne podawanie współrzędnych punktów wielokąta (poligonu) określającego obszar zgłoszenia. W takim przypadku pole może zawierać identyfikatory działek objętych obszarem zgłoszenia. </w:t>
            </w:r>
          </w:p>
        </w:tc>
      </w:tr>
      <w:tr w:rsidR="00050270" w:rsidTr="00050270">
        <w:trPr>
          <w:trHeight w:val="282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050270" w:rsidRDefault="00050270" w:rsidP="00F55F7C"/>
        </w:tc>
        <w:tc>
          <w:tcPr>
            <w:tcW w:w="295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050270" w:rsidRDefault="00050270" w:rsidP="00050270">
            <w:pPr>
              <w:numPr>
                <w:ilvl w:val="0"/>
                <w:numId w:val="2"/>
              </w:numPr>
              <w:spacing w:after="22"/>
              <w:ind w:left="201"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Nie dotyczy prac zgłaszanych Głównemu Geodeci Kraju. </w:t>
            </w:r>
          </w:p>
          <w:p w:rsidR="00050270" w:rsidRDefault="00050270" w:rsidP="00050270">
            <w:pPr>
              <w:numPr>
                <w:ilvl w:val="0"/>
                <w:numId w:val="2"/>
              </w:numPr>
              <w:ind w:left="201" w:hanging="125"/>
            </w:pPr>
            <w:r>
              <w:rPr>
                <w:rFonts w:ascii="Arial" w:eastAsia="Arial" w:hAnsi="Arial" w:cs="Arial"/>
                <w:i/>
                <w:sz w:val="10"/>
              </w:rPr>
              <w:t>Termin nie dłuższy niż rok, licząc od dnia dokonania uzupełnienia</w:t>
            </w:r>
          </w:p>
        </w:tc>
        <w:tc>
          <w:tcPr>
            <w:tcW w:w="7027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:rsidR="00050270" w:rsidRDefault="00050270" w:rsidP="00F55F7C">
            <w:pPr>
              <w:ind w:left="-20"/>
            </w:pPr>
            <w:r>
              <w:rPr>
                <w:rFonts w:ascii="Arial" w:eastAsia="Arial" w:hAnsi="Arial" w:cs="Arial"/>
                <w:i/>
                <w:sz w:val="10"/>
              </w:rPr>
              <w:t xml:space="preserve"> zgłoszenia prac geodezyjnych. Nie dotyczy prac zgłaszanych Głównemu Geodecie Kraju. </w:t>
            </w:r>
          </w:p>
        </w:tc>
      </w:tr>
      <w:tr w:rsidR="00050270" w:rsidTr="00050270">
        <w:trPr>
          <w:trHeight w:val="423"/>
        </w:trPr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CCCFF"/>
          </w:tcPr>
          <w:p w:rsidR="00050270" w:rsidRDefault="00050270" w:rsidP="00F55F7C"/>
        </w:tc>
        <w:tc>
          <w:tcPr>
            <w:tcW w:w="9981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050270" w:rsidRDefault="00050270" w:rsidP="00050270">
            <w:pPr>
              <w:numPr>
                <w:ilvl w:val="0"/>
                <w:numId w:val="3"/>
              </w:numPr>
              <w:spacing w:after="22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tym polu można wskazać w szczególności informacje dotyczące oczekiwanych materiałów, formy ich przekazania i sposobu odbioru materiałów zasobu. </w:t>
            </w:r>
          </w:p>
          <w:p w:rsidR="00050270" w:rsidRDefault="00050270" w:rsidP="00050270">
            <w:pPr>
              <w:numPr>
                <w:ilvl w:val="0"/>
                <w:numId w:val="3"/>
              </w:numPr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wykonawcy w tym systemie. </w:t>
            </w:r>
          </w:p>
        </w:tc>
      </w:tr>
      <w:tr w:rsidR="00050270" w:rsidTr="00050270">
        <w:trPr>
          <w:trHeight w:val="201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Default="00050270" w:rsidP="00F55F7C"/>
        </w:tc>
        <w:tc>
          <w:tcPr>
            <w:tcW w:w="295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50270" w:rsidRDefault="00050270" w:rsidP="00F55F7C">
            <w:pPr>
              <w:ind w:left="188"/>
            </w:pPr>
            <w:r>
              <w:rPr>
                <w:rFonts w:ascii="Arial" w:eastAsia="Arial" w:hAnsi="Arial" w:cs="Arial"/>
                <w:i/>
                <w:sz w:val="10"/>
              </w:rPr>
              <w:t xml:space="preserve">* Informacja nieobowiązkowa. </w:t>
            </w:r>
          </w:p>
        </w:tc>
        <w:tc>
          <w:tcPr>
            <w:tcW w:w="7027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50270" w:rsidRDefault="00050270" w:rsidP="00F55F7C"/>
        </w:tc>
      </w:tr>
      <w:tr w:rsidR="00050270" w:rsidTr="00050270">
        <w:trPr>
          <w:trHeight w:val="193"/>
        </w:trPr>
        <w:tc>
          <w:tcPr>
            <w:tcW w:w="105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Default="00050270" w:rsidP="00F55F7C">
            <w:pPr>
              <w:ind w:left="26"/>
            </w:pPr>
            <w:r>
              <w:rPr>
                <w:rFonts w:ascii="Arial" w:eastAsia="Arial" w:hAnsi="Arial" w:cs="Arial"/>
                <w:sz w:val="11"/>
              </w:rPr>
              <w:t xml:space="preserve">W </w:t>
            </w:r>
            <w:proofErr w:type="spellStart"/>
            <w:r>
              <w:rPr>
                <w:rFonts w:ascii="Arial" w:eastAsia="Arial" w:hAnsi="Arial" w:cs="Arial"/>
                <w:sz w:val="11"/>
              </w:rPr>
              <w:t>yjaśnienia</w:t>
            </w:r>
            <w:proofErr w:type="spellEnd"/>
            <w:r>
              <w:rPr>
                <w:rFonts w:ascii="Arial" w:eastAsia="Arial" w:hAnsi="Arial" w:cs="Arial"/>
                <w:sz w:val="11"/>
              </w:rPr>
              <w:t xml:space="preserve">: </w:t>
            </w:r>
          </w:p>
        </w:tc>
      </w:tr>
      <w:tr w:rsidR="00050270" w:rsidTr="00050270">
        <w:trPr>
          <w:trHeight w:val="353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</w:tcPr>
          <w:p w:rsidR="00050270" w:rsidRDefault="00050270" w:rsidP="00F55F7C"/>
        </w:tc>
        <w:tc>
          <w:tcPr>
            <w:tcW w:w="998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0270" w:rsidRDefault="00050270" w:rsidP="00050270">
            <w:pPr>
              <w:numPr>
                <w:ilvl w:val="0"/>
                <w:numId w:val="4"/>
              </w:numPr>
              <w:spacing w:after="21"/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W formularzach można nie </w:t>
            </w:r>
            <w:proofErr w:type="spellStart"/>
            <w:r>
              <w:rPr>
                <w:rFonts w:ascii="Arial" w:eastAsia="Arial" w:hAnsi="Arial" w:cs="Arial"/>
                <w:i/>
                <w:sz w:val="10"/>
              </w:rPr>
              <w:t>uwzgledniać</w:t>
            </w:r>
            <w:proofErr w:type="spellEnd"/>
            <w:r>
              <w:rPr>
                <w:rFonts w:ascii="Arial" w:eastAsia="Arial" w:hAnsi="Arial" w:cs="Arial"/>
                <w:i/>
                <w:sz w:val="10"/>
              </w:rPr>
              <w:t xml:space="preserve"> oznaczeń kolorystycznych. </w:t>
            </w:r>
          </w:p>
          <w:p w:rsidR="00050270" w:rsidRDefault="00050270" w:rsidP="00050270">
            <w:pPr>
              <w:numPr>
                <w:ilvl w:val="0"/>
                <w:numId w:val="4"/>
              </w:numPr>
              <w:ind w:hanging="125"/>
            </w:pPr>
            <w:r>
              <w:rPr>
                <w:rFonts w:ascii="Arial" w:eastAsia="Arial" w:hAnsi="Arial" w:cs="Arial"/>
                <w:i/>
                <w:sz w:val="10"/>
              </w:rPr>
              <w:t xml:space="preserve">Pola formularza można rozszerzać w zależności od potrzeb. Do formularza papierowego można dołączyć załączniki zawierające informacje, których nie można było zamieścić w formularzu. </w:t>
            </w:r>
          </w:p>
        </w:tc>
      </w:tr>
    </w:tbl>
    <w:p w:rsidR="00050270" w:rsidRDefault="00050270" w:rsidP="00050270">
      <w:pPr>
        <w:spacing w:after="220"/>
        <w:ind w:left="559"/>
        <w:jc w:val="center"/>
      </w:pPr>
      <w:r>
        <w:rPr>
          <w:rFonts w:ascii="Times New Roman" w:eastAsia="Times New Roman" w:hAnsi="Times New Roman"/>
          <w:color w:val="181717"/>
          <w:sz w:val="20"/>
        </w:rPr>
        <w:tab/>
      </w:r>
    </w:p>
    <w:p w:rsidR="008E526B" w:rsidRDefault="008E526B"/>
    <w:sectPr w:rsidR="008E5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638D"/>
    <w:multiLevelType w:val="hybridMultilevel"/>
    <w:tmpl w:val="FFFFFFFF"/>
    <w:lvl w:ilvl="0" w:tplc="D096BD62">
      <w:start w:val="5"/>
      <w:numFmt w:val="decimal"/>
      <w:lvlText w:val="%1."/>
      <w:lvlJc w:val="left"/>
      <w:pPr>
        <w:ind w:left="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1" w:tplc="DB1ECFAA">
      <w:start w:val="1"/>
      <w:numFmt w:val="lowerLetter"/>
      <w:lvlText w:val="%2"/>
      <w:lvlJc w:val="left"/>
      <w:pPr>
        <w:ind w:left="12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2" w:tplc="4D2CF55C">
      <w:start w:val="1"/>
      <w:numFmt w:val="lowerRoman"/>
      <w:lvlText w:val="%3"/>
      <w:lvlJc w:val="left"/>
      <w:pPr>
        <w:ind w:left="19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3" w:tplc="850ED4D4">
      <w:start w:val="1"/>
      <w:numFmt w:val="decimal"/>
      <w:lvlText w:val="%4"/>
      <w:lvlJc w:val="left"/>
      <w:pPr>
        <w:ind w:left="26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4" w:tplc="43BABE36">
      <w:start w:val="1"/>
      <w:numFmt w:val="lowerLetter"/>
      <w:lvlText w:val="%5"/>
      <w:lvlJc w:val="left"/>
      <w:pPr>
        <w:ind w:left="33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5" w:tplc="C3ECD45C">
      <w:start w:val="1"/>
      <w:numFmt w:val="lowerRoman"/>
      <w:lvlText w:val="%6"/>
      <w:lvlJc w:val="left"/>
      <w:pPr>
        <w:ind w:left="41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6" w:tplc="7FBE22A8">
      <w:start w:val="1"/>
      <w:numFmt w:val="decimal"/>
      <w:lvlText w:val="%7"/>
      <w:lvlJc w:val="left"/>
      <w:pPr>
        <w:ind w:left="48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7" w:tplc="D8085016">
      <w:start w:val="1"/>
      <w:numFmt w:val="lowerLetter"/>
      <w:lvlText w:val="%8"/>
      <w:lvlJc w:val="left"/>
      <w:pPr>
        <w:ind w:left="55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8" w:tplc="E954CD9E">
      <w:start w:val="1"/>
      <w:numFmt w:val="lowerRoman"/>
      <w:lvlText w:val="%9"/>
      <w:lvlJc w:val="left"/>
      <w:pPr>
        <w:ind w:left="62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C410B4"/>
    <w:multiLevelType w:val="hybridMultilevel"/>
    <w:tmpl w:val="FFFFFFFF"/>
    <w:lvl w:ilvl="0" w:tplc="D44ACF52">
      <w:start w:val="1"/>
      <w:numFmt w:val="decimal"/>
      <w:lvlText w:val="%1."/>
      <w:lvlJc w:val="left"/>
      <w:pPr>
        <w:ind w:left="2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1" w:tplc="17FA261E">
      <w:start w:val="1"/>
      <w:numFmt w:val="bullet"/>
      <w:lvlText w:val="–"/>
      <w:lvlJc w:val="left"/>
      <w:pPr>
        <w:ind w:left="2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BAA49B0">
      <w:start w:val="1"/>
      <w:numFmt w:val="bullet"/>
      <w:lvlText w:val="▪"/>
      <w:lvlJc w:val="left"/>
      <w:pPr>
        <w:ind w:left="14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B229412">
      <w:start w:val="1"/>
      <w:numFmt w:val="bullet"/>
      <w:lvlText w:val="•"/>
      <w:lvlJc w:val="left"/>
      <w:pPr>
        <w:ind w:left="218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4E625CC">
      <w:start w:val="1"/>
      <w:numFmt w:val="bullet"/>
      <w:lvlText w:val="o"/>
      <w:lvlJc w:val="left"/>
      <w:pPr>
        <w:ind w:left="290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BC64BC4">
      <w:start w:val="1"/>
      <w:numFmt w:val="bullet"/>
      <w:lvlText w:val="▪"/>
      <w:lvlJc w:val="left"/>
      <w:pPr>
        <w:ind w:left="362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954D740">
      <w:start w:val="1"/>
      <w:numFmt w:val="bullet"/>
      <w:lvlText w:val="•"/>
      <w:lvlJc w:val="left"/>
      <w:pPr>
        <w:ind w:left="43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2C307436">
      <w:start w:val="1"/>
      <w:numFmt w:val="bullet"/>
      <w:lvlText w:val="o"/>
      <w:lvlJc w:val="left"/>
      <w:pPr>
        <w:ind w:left="50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5188476">
      <w:start w:val="1"/>
      <w:numFmt w:val="bullet"/>
      <w:lvlText w:val="▪"/>
      <w:lvlJc w:val="left"/>
      <w:pPr>
        <w:ind w:left="578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9D577D"/>
    <w:multiLevelType w:val="hybridMultilevel"/>
    <w:tmpl w:val="FFFFFFFF"/>
    <w:lvl w:ilvl="0" w:tplc="5D866416">
      <w:start w:val="1"/>
      <w:numFmt w:val="decimal"/>
      <w:lvlText w:val="%1."/>
      <w:lvlJc w:val="left"/>
      <w:pPr>
        <w:ind w:left="2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07C2EB8">
      <w:start w:val="1"/>
      <w:numFmt w:val="lowerLetter"/>
      <w:lvlText w:val="%2"/>
      <w:lvlJc w:val="left"/>
      <w:pPr>
        <w:ind w:left="12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BB2804C">
      <w:start w:val="1"/>
      <w:numFmt w:val="lowerRoman"/>
      <w:lvlText w:val="%3"/>
      <w:lvlJc w:val="left"/>
      <w:pPr>
        <w:ind w:left="19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45C52EC">
      <w:start w:val="1"/>
      <w:numFmt w:val="decimal"/>
      <w:lvlText w:val="%4"/>
      <w:lvlJc w:val="left"/>
      <w:pPr>
        <w:ind w:left="26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9A602C0">
      <w:start w:val="1"/>
      <w:numFmt w:val="lowerLetter"/>
      <w:lvlText w:val="%5"/>
      <w:lvlJc w:val="left"/>
      <w:pPr>
        <w:ind w:left="33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9E660C8">
      <w:start w:val="1"/>
      <w:numFmt w:val="lowerRoman"/>
      <w:lvlText w:val="%6"/>
      <w:lvlJc w:val="left"/>
      <w:pPr>
        <w:ind w:left="41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61FEC208">
      <w:start w:val="1"/>
      <w:numFmt w:val="decimal"/>
      <w:lvlText w:val="%7"/>
      <w:lvlJc w:val="left"/>
      <w:pPr>
        <w:ind w:left="48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22E450E">
      <w:start w:val="1"/>
      <w:numFmt w:val="lowerLetter"/>
      <w:lvlText w:val="%8"/>
      <w:lvlJc w:val="left"/>
      <w:pPr>
        <w:ind w:left="55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602AA86">
      <w:start w:val="1"/>
      <w:numFmt w:val="lowerRoman"/>
      <w:lvlText w:val="%9"/>
      <w:lvlJc w:val="left"/>
      <w:pPr>
        <w:ind w:left="62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3F6A68"/>
    <w:multiLevelType w:val="hybridMultilevel"/>
    <w:tmpl w:val="FFFFFFFF"/>
    <w:lvl w:ilvl="0" w:tplc="C4A685B8">
      <w:start w:val="7"/>
      <w:numFmt w:val="decimal"/>
      <w:lvlText w:val="%1."/>
      <w:lvlJc w:val="left"/>
      <w:pPr>
        <w:ind w:left="27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1" w:tplc="839EBC08">
      <w:start w:val="1"/>
      <w:numFmt w:val="lowerLetter"/>
      <w:lvlText w:val="%2"/>
      <w:lvlJc w:val="left"/>
      <w:pPr>
        <w:ind w:left="12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2" w:tplc="F45E6FE2">
      <w:start w:val="1"/>
      <w:numFmt w:val="lowerRoman"/>
      <w:lvlText w:val="%3"/>
      <w:lvlJc w:val="left"/>
      <w:pPr>
        <w:ind w:left="19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3" w:tplc="C0EEE45E">
      <w:start w:val="1"/>
      <w:numFmt w:val="decimal"/>
      <w:lvlText w:val="%4"/>
      <w:lvlJc w:val="left"/>
      <w:pPr>
        <w:ind w:left="26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4" w:tplc="6F5EC908">
      <w:start w:val="1"/>
      <w:numFmt w:val="lowerLetter"/>
      <w:lvlText w:val="%5"/>
      <w:lvlJc w:val="left"/>
      <w:pPr>
        <w:ind w:left="33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5" w:tplc="CF545036">
      <w:start w:val="1"/>
      <w:numFmt w:val="lowerRoman"/>
      <w:lvlText w:val="%6"/>
      <w:lvlJc w:val="left"/>
      <w:pPr>
        <w:ind w:left="411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6" w:tplc="A6AE125A">
      <w:start w:val="1"/>
      <w:numFmt w:val="decimal"/>
      <w:lvlText w:val="%7"/>
      <w:lvlJc w:val="left"/>
      <w:pPr>
        <w:ind w:left="48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7" w:tplc="5B763E98">
      <w:start w:val="1"/>
      <w:numFmt w:val="lowerLetter"/>
      <w:lvlText w:val="%8"/>
      <w:lvlJc w:val="left"/>
      <w:pPr>
        <w:ind w:left="555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  <w:lvl w:ilvl="8" w:tplc="BEF66B16">
      <w:start w:val="1"/>
      <w:numFmt w:val="lowerRoman"/>
      <w:lvlText w:val="%9"/>
      <w:lvlJc w:val="left"/>
      <w:pPr>
        <w:ind w:left="627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7"/>
        <w:szCs w:val="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70"/>
    <w:rsid w:val="00050270"/>
    <w:rsid w:val="008E526B"/>
    <w:rsid w:val="00E4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89F4A-983F-4FC7-A508-E0B56E19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270"/>
    <w:rPr>
      <w:rFonts w:ascii="Calibri" w:eastAsia="Calibri" w:hAnsi="Calibri" w:cs="Times New Roman"/>
      <w:color w:val="000000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502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Jaksina</dc:creator>
  <cp:keywords/>
  <dc:description/>
  <cp:lastModifiedBy>Magdalena Jaksina</cp:lastModifiedBy>
  <cp:revision>2</cp:revision>
  <cp:lastPrinted>2020-08-03T06:09:00Z</cp:lastPrinted>
  <dcterms:created xsi:type="dcterms:W3CDTF">2020-08-03T06:09:00Z</dcterms:created>
  <dcterms:modified xsi:type="dcterms:W3CDTF">2020-08-03T06:09:00Z</dcterms:modified>
</cp:coreProperties>
</file>