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19"/>
        <w:gridCol w:w="7"/>
        <w:gridCol w:w="1547"/>
        <w:gridCol w:w="7"/>
        <w:gridCol w:w="871"/>
        <w:gridCol w:w="7"/>
        <w:gridCol w:w="2787"/>
        <w:gridCol w:w="7"/>
        <w:gridCol w:w="1125"/>
        <w:gridCol w:w="7"/>
        <w:gridCol w:w="1404"/>
        <w:gridCol w:w="7"/>
        <w:gridCol w:w="1770"/>
        <w:gridCol w:w="7"/>
        <w:gridCol w:w="1133"/>
        <w:gridCol w:w="7"/>
        <w:gridCol w:w="1054"/>
        <w:gridCol w:w="1418"/>
        <w:gridCol w:w="835"/>
        <w:gridCol w:w="7"/>
        <w:gridCol w:w="702"/>
        <w:gridCol w:w="7"/>
        <w:gridCol w:w="731"/>
        <w:gridCol w:w="10"/>
        <w:gridCol w:w="15"/>
        <w:gridCol w:w="10"/>
      </w:tblGrid>
      <w:tr w:rsidR="0049269F" w:rsidRPr="003A734D" w14:paraId="53A59DE8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803D2F">
        <w:trPr>
          <w:gridAfter w:val="3"/>
          <w:wAfter w:w="35" w:type="dxa"/>
          <w:trHeight w:val="300"/>
        </w:trPr>
        <w:tc>
          <w:tcPr>
            <w:tcW w:w="161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A17569">
        <w:trPr>
          <w:gridAfter w:val="3"/>
          <w:wAfter w:w="35" w:type="dxa"/>
          <w:trHeight w:val="2470"/>
        </w:trPr>
        <w:tc>
          <w:tcPr>
            <w:tcW w:w="7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F04563">
        <w:trPr>
          <w:gridAfter w:val="3"/>
          <w:wAfter w:w="35" w:type="dxa"/>
          <w:trHeight w:val="5175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2F5D6C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2F5D6C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115A7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A17569">
        <w:trPr>
          <w:gridAfter w:val="3"/>
          <w:wAfter w:w="35" w:type="dxa"/>
          <w:trHeight w:val="48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675A48">
        <w:trPr>
          <w:gridAfter w:val="3"/>
          <w:wAfter w:w="35" w:type="dxa"/>
          <w:trHeight w:val="214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675A48">
        <w:trPr>
          <w:gridAfter w:val="3"/>
          <w:wAfter w:w="35" w:type="dxa"/>
          <w:trHeight w:val="12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675A48">
        <w:trPr>
          <w:gridAfter w:val="3"/>
          <w:wAfter w:w="35" w:type="dxa"/>
          <w:trHeight w:val="160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F017D6">
        <w:trPr>
          <w:gridAfter w:val="3"/>
          <w:wAfter w:w="35" w:type="dxa"/>
          <w:trHeight w:val="118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F017D6">
        <w:trPr>
          <w:gridAfter w:val="3"/>
          <w:wAfter w:w="35" w:type="dxa"/>
          <w:trHeight w:val="14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F017D6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F017D6">
        <w:trPr>
          <w:gridAfter w:val="3"/>
          <w:wAfter w:w="35" w:type="dxa"/>
          <w:trHeight w:val="223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F017D6">
        <w:trPr>
          <w:gridAfter w:val="3"/>
          <w:wAfter w:w="35" w:type="dxa"/>
          <w:trHeight w:val="11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AF4857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AF4857">
        <w:trPr>
          <w:gridAfter w:val="3"/>
          <w:wAfter w:w="35" w:type="dxa"/>
          <w:trHeight w:val="8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AF4857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AF4857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D84B77">
        <w:trPr>
          <w:gridAfter w:val="3"/>
          <w:wAfter w:w="35" w:type="dxa"/>
          <w:trHeight w:val="9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D84B77">
        <w:trPr>
          <w:gridAfter w:val="3"/>
          <w:wAfter w:w="35" w:type="dxa"/>
          <w:trHeight w:val="18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A17569">
        <w:trPr>
          <w:gridAfter w:val="3"/>
          <w:wAfter w:w="35" w:type="dxa"/>
          <w:trHeight w:val="246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A17569">
        <w:trPr>
          <w:gridAfter w:val="3"/>
          <w:wAfter w:w="35" w:type="dxa"/>
          <w:trHeight w:val="93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43756F">
        <w:trPr>
          <w:gridAfter w:val="3"/>
          <w:wAfter w:w="35" w:type="dxa"/>
          <w:trHeight w:val="1677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440DDF">
        <w:trPr>
          <w:gridAfter w:val="3"/>
          <w:wAfter w:w="35" w:type="dxa"/>
          <w:trHeight w:val="17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440DDF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440DDF">
        <w:trPr>
          <w:gridAfter w:val="3"/>
          <w:wAfter w:w="35" w:type="dxa"/>
          <w:trHeight w:val="42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E6CA5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E6CA5">
        <w:trPr>
          <w:gridAfter w:val="3"/>
          <w:wAfter w:w="35" w:type="dxa"/>
          <w:trHeight w:val="15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440DDF">
        <w:trPr>
          <w:gridAfter w:val="3"/>
          <w:wAfter w:w="35" w:type="dxa"/>
          <w:trHeight w:val="35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5F57FE">
        <w:trPr>
          <w:gridAfter w:val="3"/>
          <w:wAfter w:w="35" w:type="dxa"/>
          <w:trHeight w:val="6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5F57FE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440DDF">
        <w:trPr>
          <w:gridAfter w:val="3"/>
          <w:wAfter w:w="35" w:type="dxa"/>
          <w:trHeight w:val="17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440DDF">
        <w:trPr>
          <w:gridAfter w:val="3"/>
          <w:wAfter w:w="35" w:type="dxa"/>
          <w:trHeight w:val="14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440DDF">
        <w:trPr>
          <w:gridAfter w:val="3"/>
          <w:wAfter w:w="35" w:type="dxa"/>
          <w:trHeight w:val="8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440DDF">
        <w:trPr>
          <w:gridAfter w:val="3"/>
          <w:wAfter w:w="35" w:type="dxa"/>
          <w:trHeight w:val="22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382103">
        <w:trPr>
          <w:gridAfter w:val="3"/>
          <w:wAfter w:w="35" w:type="dxa"/>
          <w:trHeight w:val="360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382103">
        <w:trPr>
          <w:gridAfter w:val="3"/>
          <w:wAfter w:w="35" w:type="dxa"/>
          <w:trHeight w:val="79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382103">
        <w:trPr>
          <w:gridAfter w:val="3"/>
          <w:wAfter w:w="35" w:type="dxa"/>
          <w:trHeight w:val="2669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A17569">
        <w:trPr>
          <w:gridAfter w:val="3"/>
          <w:wAfter w:w="35" w:type="dxa"/>
          <w:trHeight w:val="22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7A2B2C">
        <w:trPr>
          <w:gridAfter w:val="3"/>
          <w:wAfter w:w="35" w:type="dxa"/>
          <w:trHeight w:val="4024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617801">
        <w:trPr>
          <w:gridAfter w:val="3"/>
          <w:wAfter w:w="35" w:type="dxa"/>
          <w:trHeight w:val="195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617801">
        <w:trPr>
          <w:gridAfter w:val="3"/>
          <w:wAfter w:w="35" w:type="dxa"/>
          <w:trHeight w:val="14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617801">
        <w:trPr>
          <w:gridAfter w:val="3"/>
          <w:wAfter w:w="35" w:type="dxa"/>
          <w:trHeight w:val="7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617801">
        <w:trPr>
          <w:gridAfter w:val="3"/>
          <w:wAfter w:w="35" w:type="dxa"/>
          <w:trHeight w:val="36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43756F">
        <w:trPr>
          <w:gridAfter w:val="3"/>
          <w:wAfter w:w="35" w:type="dxa"/>
          <w:trHeight w:val="8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DB5F1F">
        <w:trPr>
          <w:gridAfter w:val="3"/>
          <w:wAfter w:w="35" w:type="dxa"/>
          <w:trHeight w:val="1890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Karcewska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5B0EC3">
        <w:trPr>
          <w:gridAfter w:val="3"/>
          <w:wAfter w:w="35" w:type="dxa"/>
          <w:trHeight w:val="9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5B0EC3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5B0EC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5656E1">
        <w:trPr>
          <w:gridAfter w:val="3"/>
          <w:wAfter w:w="35" w:type="dxa"/>
          <w:trHeight w:val="52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A17569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A17569">
        <w:trPr>
          <w:gridAfter w:val="3"/>
          <w:wAfter w:w="35" w:type="dxa"/>
          <w:trHeight w:val="808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43756F">
        <w:trPr>
          <w:gridAfter w:val="3"/>
          <w:wAfter w:w="35" w:type="dxa"/>
          <w:trHeight w:val="593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083BC6">
        <w:trPr>
          <w:gridAfter w:val="3"/>
          <w:wAfter w:w="35" w:type="dxa"/>
          <w:trHeight w:val="6827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A17569">
        <w:trPr>
          <w:gridAfter w:val="2"/>
          <w:wAfter w:w="2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A17569">
        <w:trPr>
          <w:gridAfter w:val="2"/>
          <w:wAfter w:w="25" w:type="dxa"/>
          <w:trHeight w:val="412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A17569">
        <w:trPr>
          <w:gridAfter w:val="2"/>
          <w:wAfter w:w="25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A734D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A734D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A734D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A734D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C850872" w14:textId="31E7CBDD" w:rsidR="009535B8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535B8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Sławomir Cackowski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06E7E00" w14:textId="77777777" w:rsidR="00CF2EC5" w:rsidRPr="003A734D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</w:p>
          <w:p w14:paraId="09E4C109" w14:textId="77777777" w:rsidR="00F128F8" w:rsidRPr="003A734D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 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Stańczuk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F2EC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7CE337D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Grzegorz Kowalewski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07FE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Szczepański </w:t>
            </w:r>
          </w:p>
          <w:p w14:paraId="36FEFEB1" w14:textId="77777777" w:rsidR="009535B8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7777777" w:rsidR="004E07FE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Michał Kowalski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77777777" w:rsidR="009535B8" w:rsidRPr="003A734D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22.05.2019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3A734D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A17569">
        <w:trPr>
          <w:gridAfter w:val="1"/>
          <w:wAfter w:w="10" w:type="dxa"/>
          <w:trHeight w:val="1403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A17569">
        <w:trPr>
          <w:gridAfter w:val="1"/>
          <w:wAfter w:w="10" w:type="dxa"/>
          <w:trHeight w:val="1266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A17569">
        <w:trPr>
          <w:gridBefore w:val="1"/>
          <w:wBefore w:w="8" w:type="dxa"/>
          <w:trHeight w:val="905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103140CF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23FE4D49" w:rsidR="00E54739" w:rsidRPr="00C01B18" w:rsidRDefault="00E54739" w:rsidP="00E547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3A63" w14:textId="77777777" w:rsidR="00A40564" w:rsidRDefault="00A40564" w:rsidP="00496B06">
      <w:pPr>
        <w:spacing w:after="0" w:line="240" w:lineRule="auto"/>
      </w:pPr>
      <w:r>
        <w:separator/>
      </w:r>
    </w:p>
  </w:endnote>
  <w:endnote w:type="continuationSeparator" w:id="0">
    <w:p w14:paraId="482047D1" w14:textId="77777777" w:rsidR="00A40564" w:rsidRDefault="00A40564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4A1A" w14:textId="77777777" w:rsidR="00A40564" w:rsidRDefault="00A40564" w:rsidP="00496B06">
      <w:pPr>
        <w:spacing w:after="0" w:line="240" w:lineRule="auto"/>
      </w:pPr>
      <w:r>
        <w:separator/>
      </w:r>
    </w:p>
  </w:footnote>
  <w:footnote w:type="continuationSeparator" w:id="0">
    <w:p w14:paraId="6558BDD3" w14:textId="77777777" w:rsidR="00A40564" w:rsidRDefault="00A40564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3"/>
  </w:num>
  <w:num w:numId="2" w16cid:durableId="1662461351">
    <w:abstractNumId w:val="13"/>
  </w:num>
  <w:num w:numId="3" w16cid:durableId="152258932">
    <w:abstractNumId w:val="12"/>
  </w:num>
  <w:num w:numId="4" w16cid:durableId="1553955280">
    <w:abstractNumId w:val="7"/>
  </w:num>
  <w:num w:numId="5" w16cid:durableId="1125538494">
    <w:abstractNumId w:val="4"/>
  </w:num>
  <w:num w:numId="6" w16cid:durableId="845022550">
    <w:abstractNumId w:val="10"/>
  </w:num>
  <w:num w:numId="7" w16cid:durableId="345403180">
    <w:abstractNumId w:val="11"/>
  </w:num>
  <w:num w:numId="8" w16cid:durableId="1994598494">
    <w:abstractNumId w:val="6"/>
  </w:num>
  <w:num w:numId="9" w16cid:durableId="292635745">
    <w:abstractNumId w:val="9"/>
  </w:num>
  <w:num w:numId="10" w16cid:durableId="700403397">
    <w:abstractNumId w:val="1"/>
  </w:num>
  <w:num w:numId="11" w16cid:durableId="2016423105">
    <w:abstractNumId w:val="1"/>
    <w:lvlOverride w:ilvl="0">
      <w:startOverride w:val="1"/>
    </w:lvlOverride>
  </w:num>
  <w:num w:numId="12" w16cid:durableId="781340760">
    <w:abstractNumId w:val="5"/>
    <w:lvlOverride w:ilvl="0">
      <w:startOverride w:val="1"/>
    </w:lvlOverride>
  </w:num>
  <w:num w:numId="13" w16cid:durableId="1746998694">
    <w:abstractNumId w:val="2"/>
  </w:num>
  <w:num w:numId="14" w16cid:durableId="1657108058">
    <w:abstractNumId w:val="8"/>
  </w:num>
  <w:num w:numId="15" w16cid:durableId="16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C7E5F"/>
    <w:rsid w:val="001D2F83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55970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E0C09"/>
    <w:rsid w:val="003E3F87"/>
    <w:rsid w:val="003E4E9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3756F"/>
    <w:rsid w:val="00442B3C"/>
    <w:rsid w:val="0045449E"/>
    <w:rsid w:val="00471410"/>
    <w:rsid w:val="00471EA4"/>
    <w:rsid w:val="00475927"/>
    <w:rsid w:val="004821F1"/>
    <w:rsid w:val="00484E30"/>
    <w:rsid w:val="0049269F"/>
    <w:rsid w:val="00495F58"/>
    <w:rsid w:val="00496B06"/>
    <w:rsid w:val="004A2558"/>
    <w:rsid w:val="004C1169"/>
    <w:rsid w:val="004C6DA2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D91"/>
    <w:rsid w:val="00566DD4"/>
    <w:rsid w:val="00567595"/>
    <w:rsid w:val="00572619"/>
    <w:rsid w:val="0058049F"/>
    <w:rsid w:val="005813BD"/>
    <w:rsid w:val="0058457B"/>
    <w:rsid w:val="005B17AF"/>
    <w:rsid w:val="005B36A1"/>
    <w:rsid w:val="005B4E4B"/>
    <w:rsid w:val="005C2919"/>
    <w:rsid w:val="005D639F"/>
    <w:rsid w:val="005E253C"/>
    <w:rsid w:val="005E6275"/>
    <w:rsid w:val="005E6C5E"/>
    <w:rsid w:val="005F72B4"/>
    <w:rsid w:val="006030F0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93F94"/>
    <w:rsid w:val="006952E7"/>
    <w:rsid w:val="006974A6"/>
    <w:rsid w:val="006A0DDE"/>
    <w:rsid w:val="006C2AEA"/>
    <w:rsid w:val="006D1ADD"/>
    <w:rsid w:val="0070295C"/>
    <w:rsid w:val="00711C53"/>
    <w:rsid w:val="00712DD4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3401"/>
    <w:rsid w:val="00777F9A"/>
    <w:rsid w:val="00790D74"/>
    <w:rsid w:val="007A2B2C"/>
    <w:rsid w:val="007A53D4"/>
    <w:rsid w:val="007A7640"/>
    <w:rsid w:val="007B1151"/>
    <w:rsid w:val="007B3901"/>
    <w:rsid w:val="007B4DD2"/>
    <w:rsid w:val="007B5CA7"/>
    <w:rsid w:val="007C1590"/>
    <w:rsid w:val="007C5223"/>
    <w:rsid w:val="007E3B31"/>
    <w:rsid w:val="007F1972"/>
    <w:rsid w:val="007F3AFC"/>
    <w:rsid w:val="007F3C8F"/>
    <w:rsid w:val="00803D2F"/>
    <w:rsid w:val="008065C0"/>
    <w:rsid w:val="0080712F"/>
    <w:rsid w:val="0081425A"/>
    <w:rsid w:val="00815174"/>
    <w:rsid w:val="00827C78"/>
    <w:rsid w:val="0084017C"/>
    <w:rsid w:val="00855184"/>
    <w:rsid w:val="00860045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7339"/>
    <w:rsid w:val="008D11A3"/>
    <w:rsid w:val="008D2C29"/>
    <w:rsid w:val="008D5421"/>
    <w:rsid w:val="008D6514"/>
    <w:rsid w:val="008E3CFD"/>
    <w:rsid w:val="008E638B"/>
    <w:rsid w:val="008E7C6B"/>
    <w:rsid w:val="008F601D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948B8"/>
    <w:rsid w:val="00996420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17569"/>
    <w:rsid w:val="00A23469"/>
    <w:rsid w:val="00A33077"/>
    <w:rsid w:val="00A35CE6"/>
    <w:rsid w:val="00A40564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2728"/>
    <w:rsid w:val="00B83C82"/>
    <w:rsid w:val="00B90162"/>
    <w:rsid w:val="00B90FDE"/>
    <w:rsid w:val="00B96ED4"/>
    <w:rsid w:val="00BA1087"/>
    <w:rsid w:val="00BA3F14"/>
    <w:rsid w:val="00BA53F6"/>
    <w:rsid w:val="00BB200E"/>
    <w:rsid w:val="00BC5D16"/>
    <w:rsid w:val="00BD0625"/>
    <w:rsid w:val="00BD41C6"/>
    <w:rsid w:val="00BE1C4B"/>
    <w:rsid w:val="00BF6AEB"/>
    <w:rsid w:val="00C01B18"/>
    <w:rsid w:val="00C04F85"/>
    <w:rsid w:val="00C11CB4"/>
    <w:rsid w:val="00C14B52"/>
    <w:rsid w:val="00C25EE5"/>
    <w:rsid w:val="00C47822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A63A7"/>
    <w:rsid w:val="00CE3383"/>
    <w:rsid w:val="00CF2EC5"/>
    <w:rsid w:val="00CF738D"/>
    <w:rsid w:val="00D010A5"/>
    <w:rsid w:val="00D01EF5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C1F94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32172"/>
    <w:rsid w:val="00F35A65"/>
    <w:rsid w:val="00F53777"/>
    <w:rsid w:val="00F57696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5633</TotalTime>
  <Pages>49</Pages>
  <Words>10822</Words>
  <Characters>64937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192</cp:revision>
  <dcterms:created xsi:type="dcterms:W3CDTF">2017-08-31T08:16:00Z</dcterms:created>
  <dcterms:modified xsi:type="dcterms:W3CDTF">2023-02-23T11:59:00Z</dcterms:modified>
</cp:coreProperties>
</file>